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北京市文化市场综合执法总队《文物使用检查单》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bookmarkStart w:id="0" w:name="_GoBack"/>
      <w:r>
        <w:rPr>
          <w:rFonts w:hint="eastAsia" w:ascii="仿宋_GB2312" w:hAnsi="仿宋_GB2312" w:eastAsia="仿宋_GB2312" w:cs="仿宋_GB2312"/>
          <w:sz w:val="32"/>
          <w:szCs w:val="32"/>
        </w:rPr>
        <w:t>文物使用情况</w:t>
      </w:r>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是否存在擅自改变国有文物保护单位用途的行为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是否存在擅自改变国有文物保护单位用途的行为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a未擅自改变国有文物保护单位用途的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核定为文物保护单位的属于国家所有的纪念建筑物或者古建筑，除可以建立博物馆、保管所或者辟为参观游览场所外，如果必须作其他用途的，已经核定公布该文物保护单位的人民政府文物行政部门征得上一级文物行政部门同意后，报核定公布该文物保护单位的人民政府批准；全国重点文物保护单位作其他用途的，已由省、自治区、直辖市人民政府报国务院批准。国有未核定为文物保护单位的不可移动文物作其他用途的，已报告县级人民政府文物行政部门。</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核定为文物保护单位的属于国家所有的纪念建筑物或者古建筑，除可以建立博物馆、保管所或者辟为参观游览场所外，如果必须作其他用途的，未经核定公布该文物保护单位的人民政府文物行政部门征得上一级文物行政部门同意后，报核定公布该文物保护单位的人民政府批准；全国重点文物保护单位作其他用途的，未由省、自治区、直辖市人民政府报国务院批准。国有未核定为文物保护单位的不可移动文物作其他用途的，未报告县级人民政府文物行政部门。</w:t>
      </w:r>
    </w:p>
    <w:p>
      <w:pPr>
        <w:ind w:firstLine="420" w:firstLineChars="200"/>
      </w:pP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E3883"/>
    <w:rsid w:val="08E830E6"/>
    <w:rsid w:val="32472A23"/>
    <w:rsid w:val="32BE3883"/>
    <w:rsid w:val="3B2D0502"/>
    <w:rsid w:val="656C5F4B"/>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2021-09-09T08:14:00Z</dcterms:created>
  <dc:creator>侯东岳</dc:creator>
  <cp:lastModifiedBy>侯东岳</cp:lastModifiedBy>
  <dcterms:modified xsi:type="dcterms:W3CDTF">2021-09-09T08:19:43Z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13B7D947DFF7438E9F36059093C555DD</vt:lpwstr>
  </property>
</Properties>
</file>